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b w:val="1"/>
          <w:i w:val="1"/>
          <w:sz w:val="22"/>
          <w:szCs w:val="22"/>
          <w:u w:val="single"/>
        </w:rPr>
      </w:pPr>
      <w:r w:rsidDel="00000000" w:rsidR="00000000" w:rsidRPr="00000000">
        <w:rPr>
          <w:rtl w:val="0"/>
        </w:rPr>
      </w:r>
    </w:p>
    <w:p w:rsidR="00000000" w:rsidDel="00000000" w:rsidP="00000000" w:rsidRDefault="00000000" w:rsidRPr="00000000" w14:paraId="00000002">
      <w:pPr>
        <w:jc w:val="both"/>
        <w:rPr>
          <w:rFonts w:ascii="Arial" w:cs="Arial" w:eastAsia="Arial" w:hAnsi="Arial"/>
          <w:b w:val="1"/>
          <w:i w:val="1"/>
          <w:u w:val="single"/>
        </w:rPr>
      </w:pPr>
      <w:r w:rsidDel="00000000" w:rsidR="00000000" w:rsidRPr="00000000">
        <w:rPr>
          <w:rFonts w:ascii="Arial" w:cs="Arial" w:eastAsia="Arial" w:hAnsi="Arial"/>
          <w:b w:val="1"/>
          <w:i w:val="1"/>
          <w:u w:val="single"/>
          <w:rtl w:val="0"/>
        </w:rPr>
        <w:t xml:space="preserve">SIARAN PERS</w:t>
      </w:r>
    </w:p>
    <w:p w:rsidR="00000000" w:rsidDel="00000000" w:rsidP="00000000" w:rsidRDefault="00000000" w:rsidRPr="00000000" w14:paraId="00000003">
      <w:pPr>
        <w:spacing w:line="312" w:lineRule="auto"/>
        <w:jc w:val="both"/>
        <w:rPr>
          <w:rFonts w:ascii="Arial" w:cs="Arial" w:eastAsia="Arial" w:hAnsi="Arial"/>
        </w:rPr>
      </w:pPr>
      <w:r w:rsidDel="00000000" w:rsidR="00000000" w:rsidRPr="00000000">
        <w:rPr>
          <w:rFonts w:ascii="Arial" w:cs="Arial" w:eastAsia="Arial" w:hAnsi="Arial"/>
          <w:b w:val="1"/>
          <w:i w:val="1"/>
          <w:rtl w:val="0"/>
        </w:rPr>
        <w:t xml:space="preserve">UNTUK SEGERA DISIARKAN</w:t>
      </w:r>
      <w:r w:rsidDel="00000000" w:rsidR="00000000" w:rsidRPr="00000000">
        <w:rPr>
          <w:rtl w:val="0"/>
        </w:rPr>
      </w:r>
    </w:p>
    <w:p w:rsidR="00000000" w:rsidDel="00000000" w:rsidP="00000000" w:rsidRDefault="00000000" w:rsidRPr="00000000" w14:paraId="00000004">
      <w:pPr>
        <w:spacing w:line="312" w:lineRule="auto"/>
        <w:jc w:val="left"/>
        <w:rPr>
          <w:rFonts w:ascii="Arial" w:cs="Arial" w:eastAsia="Arial" w:hAnsi="Arial"/>
          <w:b w:val="1"/>
          <w:sz w:val="25"/>
          <w:szCs w:val="25"/>
        </w:rPr>
      </w:pPr>
      <w:r w:rsidDel="00000000" w:rsidR="00000000" w:rsidRPr="00000000">
        <w:rPr>
          <w:rtl w:val="0"/>
        </w:rPr>
      </w:r>
    </w:p>
    <w:p w:rsidR="00000000" w:rsidDel="00000000" w:rsidP="00000000" w:rsidRDefault="00000000" w:rsidRPr="00000000" w14:paraId="00000005">
      <w:pPr>
        <w:spacing w:line="312" w:lineRule="auto"/>
        <w:jc w:val="center"/>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SUMMARECON SERPONG LUNCURKAN HUNIAN KLASIK PRANCIS </w:t>
      </w:r>
    </w:p>
    <w:p w:rsidR="00000000" w:rsidDel="00000000" w:rsidP="00000000" w:rsidRDefault="00000000" w:rsidRPr="00000000" w14:paraId="00000006">
      <w:pPr>
        <w:spacing w:line="312" w:lineRule="auto"/>
        <w:jc w:val="center"/>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DENGAN SENTUHAN ROMANTIS </w:t>
      </w:r>
    </w:p>
    <w:p w:rsidR="00000000" w:rsidDel="00000000" w:rsidP="00000000" w:rsidRDefault="00000000" w:rsidRPr="00000000" w14:paraId="00000007">
      <w:pPr>
        <w:spacing w:line="312" w:lineRule="auto"/>
        <w:jc w:val="center"/>
        <w:rPr>
          <w:rFonts w:ascii="Arial" w:cs="Arial" w:eastAsia="Arial" w:hAnsi="Arial"/>
          <w:i w:val="1"/>
          <w:sz w:val="22"/>
          <w:szCs w:val="22"/>
          <w:u w:val="single"/>
        </w:rPr>
      </w:pPr>
      <w:r w:rsidDel="00000000" w:rsidR="00000000" w:rsidRPr="00000000">
        <w:rPr>
          <w:rFonts w:ascii="Arial" w:cs="Arial" w:eastAsia="Arial" w:hAnsi="Arial"/>
          <w:i w:val="1"/>
          <w:sz w:val="22"/>
          <w:szCs w:val="22"/>
          <w:u w:val="single"/>
          <w:rtl w:val="0"/>
        </w:rPr>
        <w:t xml:space="preserve">Bellefont, Hunian Terbaru Berlokasi di Kawasan Premium The Springs</w:t>
      </w:r>
    </w:p>
    <w:p w:rsidR="00000000" w:rsidDel="00000000" w:rsidP="00000000" w:rsidRDefault="00000000" w:rsidRPr="00000000" w14:paraId="00000008">
      <w:pPr>
        <w:spacing w:line="312" w:lineRule="auto"/>
        <w:jc w:val="both"/>
        <w:rPr>
          <w:rFonts w:ascii="Arial" w:cs="Arial" w:eastAsia="Arial" w:hAnsi="Arial"/>
          <w:i w:val="1"/>
          <w:sz w:val="22"/>
          <w:szCs w:val="22"/>
          <w:u w:val="single"/>
        </w:rPr>
      </w:pPr>
      <w:r w:rsidDel="00000000" w:rsidR="00000000" w:rsidRPr="00000000">
        <w:rPr>
          <w:rtl w:val="0"/>
        </w:rPr>
      </w:r>
    </w:p>
    <w:p w:rsidR="00000000" w:rsidDel="00000000" w:rsidP="00000000" w:rsidRDefault="00000000" w:rsidRPr="00000000" w14:paraId="00000009">
      <w:pPr>
        <w:spacing w:line="312" w:lineRule="auto"/>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Summarecon Serpong kembali meluncurkan hunian premium yang dilengkapi dengan beragam fasilitas untuk memenuhi kebutuhan gaya hidup sehat bagi warganya. Berlokasi di lokasi The Springs, yang telah dikenal sebagai kawasan di Gading Serpong (GS) untuk beragam hunian mewah dengan tetap mengedepankan kenyamanan terbaik melalui berbagai fasilitas yang tersedia di dalamnya. </w:t>
      </w:r>
    </w:p>
    <w:p w:rsidR="00000000" w:rsidDel="00000000" w:rsidP="00000000" w:rsidRDefault="00000000" w:rsidRPr="00000000" w14:paraId="0000000A">
      <w:pPr>
        <w:spacing w:line="312" w:lineRule="auto"/>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B">
      <w:pPr>
        <w:spacing w:line="312" w:lineRule="auto"/>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Cluster terbaru yang diperkenalkan yakni </w:t>
      </w:r>
      <w:r w:rsidDel="00000000" w:rsidR="00000000" w:rsidRPr="00000000">
        <w:rPr>
          <w:rFonts w:ascii="Arial" w:cs="Arial" w:eastAsia="Arial" w:hAnsi="Arial"/>
          <w:b w:val="1"/>
          <w:sz w:val="22"/>
          <w:szCs w:val="22"/>
          <w:highlight w:val="white"/>
          <w:rtl w:val="0"/>
        </w:rPr>
        <w:t xml:space="preserve">Bellefont,</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hunian tiga lantai bergaya klasik premium seperti pavilion di Prancis dengan balutan lingkungan bernuansa romantis melalui </w:t>
      </w:r>
      <w:r w:rsidDel="00000000" w:rsidR="00000000" w:rsidRPr="00000000">
        <w:rPr>
          <w:rFonts w:ascii="Arial" w:cs="Arial" w:eastAsia="Arial" w:hAnsi="Arial"/>
          <w:i w:val="1"/>
          <w:sz w:val="22"/>
          <w:szCs w:val="22"/>
          <w:rtl w:val="0"/>
        </w:rPr>
        <w:t xml:space="preserve">landscape </w:t>
      </w:r>
      <w:r w:rsidDel="00000000" w:rsidR="00000000" w:rsidRPr="00000000">
        <w:rPr>
          <w:rFonts w:ascii="Arial" w:cs="Arial" w:eastAsia="Arial" w:hAnsi="Arial"/>
          <w:sz w:val="22"/>
          <w:szCs w:val="22"/>
          <w:rtl w:val="0"/>
        </w:rPr>
        <w:t xml:space="preserve">cluster yang akan diisi dengan beragam bunga warna-warni penuh pesona, sekaligus menawarkan ketenangan di tengah hiruk-pikuk ibukota.</w:t>
      </w:r>
    </w:p>
    <w:p w:rsidR="00000000" w:rsidDel="00000000" w:rsidP="00000000" w:rsidRDefault="00000000" w:rsidRPr="00000000" w14:paraId="0000000C">
      <w:pPr>
        <w:spacing w:line="312"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spacing w:line="312"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Salah satu fasilitas unggulan yang hadir adalah </w:t>
      </w:r>
      <w:r w:rsidDel="00000000" w:rsidR="00000000" w:rsidRPr="00000000">
        <w:rPr>
          <w:rFonts w:ascii="Arial" w:cs="Arial" w:eastAsia="Arial" w:hAnsi="Arial"/>
          <w:b w:val="1"/>
          <w:sz w:val="22"/>
          <w:szCs w:val="22"/>
          <w:rtl w:val="0"/>
        </w:rPr>
        <w:t xml:space="preserve">The Springs Lake Park</w:t>
      </w:r>
      <w:r w:rsidDel="00000000" w:rsidR="00000000" w:rsidRPr="00000000">
        <w:rPr>
          <w:rFonts w:ascii="Arial" w:cs="Arial" w:eastAsia="Arial" w:hAnsi="Arial"/>
          <w:sz w:val="22"/>
          <w:szCs w:val="22"/>
          <w:rtl w:val="0"/>
        </w:rPr>
        <w:t xml:space="preserve"> yang menjadi ruang terbuka hijau sebagai sarana penghuni untuk menikmati gaya hidup sehat dengan pedestrian yang luas dan view danau sekaligus area interaksi dengan warga. Ditawarkan </w:t>
      </w:r>
      <w:r w:rsidDel="00000000" w:rsidR="00000000" w:rsidRPr="00000000">
        <w:rPr>
          <w:rFonts w:ascii="Arial" w:cs="Arial" w:eastAsia="Arial" w:hAnsi="Arial"/>
          <w:sz w:val="22"/>
          <w:szCs w:val="22"/>
          <w:highlight w:val="yellow"/>
          <w:rtl w:val="0"/>
        </w:rPr>
        <w:t xml:space="preserve">dengan beberapa pilihan tipe yakni; tipe 8, tipe 10, serta tipe 12. Hunian ini ditawarkan dengan harga mulai dari </w:t>
      </w:r>
      <w:r w:rsidDel="00000000" w:rsidR="00000000" w:rsidRPr="00000000">
        <w:rPr>
          <w:rFonts w:ascii="Arial" w:cs="Arial" w:eastAsia="Arial" w:hAnsi="Arial"/>
          <w:b w:val="1"/>
          <w:sz w:val="22"/>
          <w:szCs w:val="22"/>
          <w:highlight w:val="yellow"/>
          <w:rtl w:val="0"/>
        </w:rPr>
        <w:t xml:space="preserve">Rp 4,2 miliar hingga Rp 7,5 miliar</w:t>
      </w:r>
      <w:r w:rsidDel="00000000" w:rsidR="00000000" w:rsidRPr="00000000">
        <w:rPr>
          <w:rFonts w:ascii="Arial" w:cs="Arial" w:eastAsia="Arial" w:hAnsi="Arial"/>
          <w:sz w:val="22"/>
          <w:szCs w:val="22"/>
          <w:highlight w:val="yellow"/>
          <w:rtl w:val="0"/>
        </w:rPr>
        <w:t xml:space="preserve">. </w:t>
      </w:r>
      <w:r w:rsidDel="00000000" w:rsidR="00000000" w:rsidRPr="00000000">
        <w:rPr>
          <w:rtl w:val="0"/>
        </w:rPr>
      </w:r>
    </w:p>
    <w:p w:rsidR="00000000" w:rsidDel="00000000" w:rsidP="00000000" w:rsidRDefault="00000000" w:rsidRPr="00000000" w14:paraId="0000000E">
      <w:pPr>
        <w:spacing w:line="312"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spacing w:line="312" w:lineRule="auto"/>
        <w:jc w:val="both"/>
        <w:rPr>
          <w:rFonts w:ascii="Arial" w:cs="Arial" w:eastAsia="Arial" w:hAnsi="Arial"/>
          <w:i w:val="1"/>
          <w:sz w:val="22"/>
          <w:szCs w:val="22"/>
        </w:rPr>
      </w:pPr>
      <w:r w:rsidDel="00000000" w:rsidR="00000000" w:rsidRPr="00000000">
        <w:rPr>
          <w:rFonts w:ascii="Arial" w:cs="Arial" w:eastAsia="Arial" w:hAnsi="Arial"/>
          <w:b w:val="1"/>
          <w:sz w:val="22"/>
          <w:szCs w:val="22"/>
          <w:rtl w:val="0"/>
        </w:rPr>
        <w:t xml:space="preserve">Executive Director Summarecon Serpong, Albert Luhur</w:t>
      </w:r>
      <w:r w:rsidDel="00000000" w:rsidR="00000000" w:rsidRPr="00000000">
        <w:rPr>
          <w:rFonts w:ascii="Arial" w:cs="Arial" w:eastAsia="Arial" w:hAnsi="Arial"/>
          <w:sz w:val="22"/>
          <w:szCs w:val="22"/>
          <w:rtl w:val="0"/>
        </w:rPr>
        <w:t xml:space="preserve"> mengatakan, </w:t>
      </w:r>
      <w:r w:rsidDel="00000000" w:rsidR="00000000" w:rsidRPr="00000000">
        <w:rPr>
          <w:rFonts w:ascii="Arial" w:cs="Arial" w:eastAsia="Arial" w:hAnsi="Arial"/>
          <w:i w:val="1"/>
          <w:sz w:val="22"/>
          <w:szCs w:val="22"/>
          <w:rtl w:val="0"/>
        </w:rPr>
        <w:t xml:space="preserve">“Cluster Bellefont menjawab kebutuhan masyarakat yang masih mencari hunian premium di wilayah Gading Serpong. Untuk saat ini kami menghadirkan 3 tipe yang bisa dimanfaatkan sesuai dengan kemampuan dari calon pembeli. Tipe 8 yang kami hadirkan juga masih menjadi salah satu tipe yang dicari oleh masyarakat, khususnya untuk keluarga muda yang mengidamkan hunian premium dengan ukuran yang lebih efisien namun tetap fungsional. Didukung oleh beragam fasilitas yang sudah ada di The Springs, akan mampu mendukung gaya hidup sehat bagi penghuninya. Beberapa hunian di dalam kawasan ini juga bahkan telah mendapatkan beragam penghargaan tingkat nasional dan internasional sebagai hunian terbaik seperti Cluster Grisea dan Rainbow Springs Condovillas.”</w:t>
      </w:r>
    </w:p>
    <w:p w:rsidR="00000000" w:rsidDel="00000000" w:rsidP="00000000" w:rsidRDefault="00000000" w:rsidRPr="00000000" w14:paraId="00000010">
      <w:pPr>
        <w:spacing w:line="312"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312"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Nuansa elegan dari Cluster Bellefont tersaji dari bagian interior hunian yang dibalut dinding kaca di sekelilingnya, guna memberi pencahayaan dalam ruang yang baik. Selain itu, udara bisa bersirkulasi dengan optimal karena menerapkan </w:t>
      </w:r>
      <w:r w:rsidDel="00000000" w:rsidR="00000000" w:rsidRPr="00000000">
        <w:rPr>
          <w:rFonts w:ascii="Arial" w:cs="Arial" w:eastAsia="Arial" w:hAnsi="Arial"/>
          <w:i w:val="1"/>
          <w:sz w:val="22"/>
          <w:szCs w:val="22"/>
          <w:rtl w:val="0"/>
        </w:rPr>
        <w:t xml:space="preserve">high ceiling </w:t>
      </w:r>
      <w:r w:rsidDel="00000000" w:rsidR="00000000" w:rsidRPr="00000000">
        <w:rPr>
          <w:rFonts w:ascii="Arial" w:cs="Arial" w:eastAsia="Arial" w:hAnsi="Arial"/>
          <w:sz w:val="22"/>
          <w:szCs w:val="22"/>
          <w:rtl w:val="0"/>
        </w:rPr>
        <w:t xml:space="preserve">di ruang tamu. Tidak hanya itu, kemewahan dan keindahan Bellefont juga tersaji dari fasilitas </w:t>
      </w:r>
      <w:r w:rsidDel="00000000" w:rsidR="00000000" w:rsidRPr="00000000">
        <w:rPr>
          <w:rFonts w:ascii="Arial" w:cs="Arial" w:eastAsia="Arial" w:hAnsi="Arial"/>
          <w:i w:val="1"/>
          <w:sz w:val="22"/>
          <w:szCs w:val="22"/>
          <w:rtl w:val="0"/>
        </w:rPr>
        <w:t xml:space="preserve">clubhouse </w:t>
      </w:r>
      <w:r w:rsidDel="00000000" w:rsidR="00000000" w:rsidRPr="00000000">
        <w:rPr>
          <w:rFonts w:ascii="Arial" w:cs="Arial" w:eastAsia="Arial" w:hAnsi="Arial"/>
          <w:sz w:val="22"/>
          <w:szCs w:val="22"/>
          <w:rtl w:val="0"/>
        </w:rPr>
        <w:t xml:space="preserve">dengan </w:t>
      </w:r>
      <w:r w:rsidDel="00000000" w:rsidR="00000000" w:rsidRPr="00000000">
        <w:rPr>
          <w:rFonts w:ascii="Arial" w:cs="Arial" w:eastAsia="Arial" w:hAnsi="Arial"/>
          <w:i w:val="1"/>
          <w:sz w:val="22"/>
          <w:szCs w:val="22"/>
          <w:rtl w:val="0"/>
        </w:rPr>
        <w:t xml:space="preserve">multifunction room</w:t>
      </w:r>
      <w:r w:rsidDel="00000000" w:rsidR="00000000" w:rsidRPr="00000000">
        <w:rPr>
          <w:rFonts w:ascii="Arial" w:cs="Arial" w:eastAsia="Arial" w:hAnsi="Arial"/>
          <w:sz w:val="22"/>
          <w:szCs w:val="22"/>
          <w:rtl w:val="0"/>
        </w:rPr>
        <w:t xml:space="preserve"> yang bisa dimanfaatkan para penghuni untuk kegiatan di luar rumah, </w:t>
      </w:r>
      <w:r w:rsidDel="00000000" w:rsidR="00000000" w:rsidRPr="00000000">
        <w:rPr>
          <w:rFonts w:ascii="Arial" w:cs="Arial" w:eastAsia="Arial" w:hAnsi="Arial"/>
          <w:i w:val="1"/>
          <w:sz w:val="22"/>
          <w:szCs w:val="22"/>
          <w:rtl w:val="0"/>
        </w:rPr>
        <w:t xml:space="preserve">children playground</w:t>
      </w:r>
      <w:r w:rsidDel="00000000" w:rsidR="00000000" w:rsidRPr="00000000">
        <w:rPr>
          <w:rFonts w:ascii="Arial" w:cs="Arial" w:eastAsia="Arial" w:hAnsi="Arial"/>
          <w:sz w:val="22"/>
          <w:szCs w:val="22"/>
          <w:rtl w:val="0"/>
        </w:rPr>
        <w:t xml:space="preserve">, dan </w:t>
      </w:r>
      <w:r w:rsidDel="00000000" w:rsidR="00000000" w:rsidRPr="00000000">
        <w:rPr>
          <w:rFonts w:ascii="Arial" w:cs="Arial" w:eastAsia="Arial" w:hAnsi="Arial"/>
          <w:i w:val="1"/>
          <w:sz w:val="22"/>
          <w:szCs w:val="22"/>
          <w:rtl w:val="0"/>
        </w:rPr>
        <w:t xml:space="preserve">swimming pool</w:t>
      </w:r>
      <w:r w:rsidDel="00000000" w:rsidR="00000000" w:rsidRPr="00000000">
        <w:rPr>
          <w:rFonts w:ascii="Arial" w:cs="Arial" w:eastAsia="Arial" w:hAnsi="Arial"/>
          <w:sz w:val="22"/>
          <w:szCs w:val="22"/>
          <w:rtl w:val="0"/>
        </w:rPr>
        <w:t xml:space="preserve"> yang luas. </w:t>
      </w:r>
    </w:p>
    <w:p w:rsidR="00000000" w:rsidDel="00000000" w:rsidP="00000000" w:rsidRDefault="00000000" w:rsidRPr="00000000" w14:paraId="00000012">
      <w:pPr>
        <w:spacing w:line="312"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spacing w:line="312"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spacing w:line="312"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Klaster ini pun dilengkapi sistem keamanan 24 jam dengan sistem </w:t>
      </w:r>
      <w:r w:rsidDel="00000000" w:rsidR="00000000" w:rsidRPr="00000000">
        <w:rPr>
          <w:rFonts w:ascii="Arial" w:cs="Arial" w:eastAsia="Arial" w:hAnsi="Arial"/>
          <w:i w:val="1"/>
          <w:sz w:val="22"/>
          <w:szCs w:val="22"/>
          <w:rtl w:val="0"/>
        </w:rPr>
        <w:t xml:space="preserve">double gate</w:t>
      </w:r>
      <w:r w:rsidDel="00000000" w:rsidR="00000000" w:rsidRPr="00000000">
        <w:rPr>
          <w:rFonts w:ascii="Arial" w:cs="Arial" w:eastAsia="Arial" w:hAnsi="Arial"/>
          <w:sz w:val="22"/>
          <w:szCs w:val="22"/>
          <w:rtl w:val="0"/>
        </w:rPr>
        <w:t xml:space="preserve">, dimana terdapat 1 gate utama dan 1 gate cluster sebagai bentuk antisipasi keamanan. Pengelolaan lingkungan dan kawasan secara keseluruhan  dilakukan secara profesional oleh tim Town Management. </w:t>
      </w:r>
    </w:p>
    <w:p w:rsidR="00000000" w:rsidDel="00000000" w:rsidP="00000000" w:rsidRDefault="00000000" w:rsidRPr="00000000" w14:paraId="00000015">
      <w:pPr>
        <w:spacing w:line="312"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spacing w:line="312"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Bellefont terletak di lokasi yang sangat strategis karena dekat dengan jalan tembus Gading Serpong menuju BSD City. Selain akses yang mudah, Bellefont yang merupakan bagian dari kawasan The Springs dekat dengan dua lapangan golf yakni Gading Raya Golf &amp; Klub dan Damai Indah Golf. Di sebelah utara kawasan ini juga terdapat Summarecon Mall Serpong, Sekolah Terpadu Pahoa, dan Rumah Sakit Saint Carolus. Adapun di sebelah selatan terdapat berbagai </w:t>
      </w:r>
      <w:r w:rsidDel="00000000" w:rsidR="00000000" w:rsidRPr="00000000">
        <w:rPr>
          <w:rFonts w:ascii="Arial" w:cs="Arial" w:eastAsia="Arial" w:hAnsi="Arial"/>
          <w:i w:val="1"/>
          <w:sz w:val="22"/>
          <w:szCs w:val="22"/>
          <w:rtl w:val="0"/>
        </w:rPr>
        <w:t xml:space="preserve">tenant </w:t>
      </w:r>
      <w:r w:rsidDel="00000000" w:rsidR="00000000" w:rsidRPr="00000000">
        <w:rPr>
          <w:rFonts w:ascii="Arial" w:cs="Arial" w:eastAsia="Arial" w:hAnsi="Arial"/>
          <w:sz w:val="22"/>
          <w:szCs w:val="22"/>
          <w:rtl w:val="0"/>
        </w:rPr>
        <w:t xml:space="preserve">ternama di Ruko Goldfinch. </w:t>
      </w:r>
    </w:p>
    <w:p w:rsidR="00000000" w:rsidDel="00000000" w:rsidP="00000000" w:rsidRDefault="00000000" w:rsidRPr="00000000" w14:paraId="00000017">
      <w:pPr>
        <w:spacing w:line="312"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spacing w:line="312" w:lineRule="auto"/>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PRODUCT KNOWLEDGE</w:t>
      </w:r>
    </w:p>
    <w:p w:rsidR="00000000" w:rsidDel="00000000" w:rsidP="00000000" w:rsidRDefault="00000000" w:rsidRPr="00000000" w14:paraId="00000019">
      <w:pPr>
        <w:spacing w:line="312"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Summarecon Serpong memperkenalkan Cluster Bellefont dalam acara </w:t>
      </w:r>
      <w:r w:rsidDel="00000000" w:rsidR="00000000" w:rsidRPr="00000000">
        <w:rPr>
          <w:rFonts w:ascii="Arial" w:cs="Arial" w:eastAsia="Arial" w:hAnsi="Arial"/>
          <w:b w:val="1"/>
          <w:sz w:val="22"/>
          <w:szCs w:val="22"/>
          <w:rtl w:val="0"/>
        </w:rPr>
        <w:t xml:space="preserve">Product Knowledge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yang dihadiri oleh sekitar 1.800 rekanan </w:t>
      </w:r>
      <w:r w:rsidDel="00000000" w:rsidR="00000000" w:rsidRPr="00000000">
        <w:rPr>
          <w:rFonts w:ascii="Arial" w:cs="Arial" w:eastAsia="Arial" w:hAnsi="Arial"/>
          <w:b w:val="1"/>
          <w:i w:val="1"/>
          <w:sz w:val="22"/>
          <w:szCs w:val="22"/>
          <w:rtl w:val="0"/>
        </w:rPr>
        <w:t xml:space="preserve">agent property </w:t>
      </w:r>
      <w:r w:rsidDel="00000000" w:rsidR="00000000" w:rsidRPr="00000000">
        <w:rPr>
          <w:rFonts w:ascii="Arial" w:cs="Arial" w:eastAsia="Arial" w:hAnsi="Arial"/>
          <w:b w:val="1"/>
          <w:sz w:val="22"/>
          <w:szCs w:val="22"/>
          <w:rtl w:val="0"/>
        </w:rPr>
        <w:t xml:space="preserve">di The Springs Club pada hari Rabu, 11 Juni 2025</w:t>
      </w:r>
      <w:r w:rsidDel="00000000" w:rsidR="00000000" w:rsidRPr="00000000">
        <w:rPr>
          <w:rFonts w:ascii="Arial" w:cs="Arial" w:eastAsia="Arial" w:hAnsi="Arial"/>
          <w:sz w:val="22"/>
          <w:szCs w:val="22"/>
          <w:rtl w:val="0"/>
        </w:rPr>
        <w:t xml:space="preserve">. Hunian terbaru ini ditawarkan dengan sejumlah cara pembayaran, antara lain tunai keras, bertahap 12 kali &amp; 24 kali, KPR DP Minimal 10%, DP 10% cicil 10 kali bulan ke-11, serta pelunasan cash atau KPR. Tentunya proses pembayaran ini didukung oleh sejumlah bank ternama yang bekerjasama. </w:t>
      </w:r>
    </w:p>
    <w:p w:rsidR="00000000" w:rsidDel="00000000" w:rsidP="00000000" w:rsidRDefault="00000000" w:rsidRPr="00000000" w14:paraId="0000001A">
      <w:pPr>
        <w:spacing w:line="312"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spacing w:line="312"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Beragam promo ekslusif juga ditawarkan saat proses pembukaan pembelian pada Jumat, 20 Juni 2025. Cluster Bellefont akan dipasarkan sebanyak 230 unit. Untuk tahap pertama, Summarecon Serpong menawarkan Bellefont East sebanyak 57 unit.</w:t>
      </w:r>
    </w:p>
    <w:p w:rsidR="00000000" w:rsidDel="00000000" w:rsidP="00000000" w:rsidRDefault="00000000" w:rsidRPr="00000000" w14:paraId="0000001C">
      <w:pPr>
        <w:spacing w:line="312"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line="312" w:lineRule="auto"/>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MEMPERKENALKAN TAGLINE DAN LOGO TERBARU</w:t>
      </w:r>
    </w:p>
    <w:p w:rsidR="00000000" w:rsidDel="00000000" w:rsidP="00000000" w:rsidRDefault="00000000" w:rsidRPr="00000000" w14:paraId="0000001E">
      <w:pPr>
        <w:spacing w:line="312"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Memasuki usia ke 50 tahun Summarecon, sebagai pengembangan kawasan Kota Terpadu kedua setelah Summarecon Kelapa Gading, Kawasan Gading Serpong (GS) yang dikembangkan oleh Summarecon Serpong telah berhasil mengembangkan lebih dari 50 cluster pengembangan baik perumahan maupun komersial di area seluas kurang lebih 320 hektar di Summarecon Serpong. Di dalam area itu pun telah terbangun lebih dari 12.000 unit rumah, 6.000 unit apartemen, 1.800 kavling perumahan, 2.000 unit ruko, dan berbagai </w:t>
      </w:r>
      <w:r w:rsidDel="00000000" w:rsidR="00000000" w:rsidRPr="00000000">
        <w:rPr>
          <w:rFonts w:ascii="Arial" w:cs="Arial" w:eastAsia="Arial" w:hAnsi="Arial"/>
          <w:i w:val="1"/>
          <w:sz w:val="22"/>
          <w:szCs w:val="22"/>
          <w:rtl w:val="0"/>
        </w:rPr>
        <w:t xml:space="preserve">landmark </w:t>
      </w:r>
      <w:r w:rsidDel="00000000" w:rsidR="00000000" w:rsidRPr="00000000">
        <w:rPr>
          <w:rFonts w:ascii="Arial" w:cs="Arial" w:eastAsia="Arial" w:hAnsi="Arial"/>
          <w:sz w:val="22"/>
          <w:szCs w:val="22"/>
          <w:rtl w:val="0"/>
        </w:rPr>
        <w:t xml:space="preserve">terkenal.</w:t>
      </w:r>
    </w:p>
    <w:p w:rsidR="00000000" w:rsidDel="00000000" w:rsidP="00000000" w:rsidRDefault="00000000" w:rsidRPr="00000000" w14:paraId="0000001F">
      <w:pPr>
        <w:spacing w:line="312"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spacing w:line="312"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Tahun ini, Summarecon Serpong secara resmi memperkenalkan logo terbaru yang dirancang dengan sistematika yang fleksibel, memungkinkan logo ini beradaptasi dengan berbagai aplikasi dan kebutuhan visual. Fleksibilitas ini merefleksikan nilai-nilai inti perusahaan, seperti inovasi, keberagaman, dan kesatuan.</w:t>
      </w:r>
    </w:p>
    <w:p w:rsidR="00000000" w:rsidDel="00000000" w:rsidP="00000000" w:rsidRDefault="00000000" w:rsidRPr="00000000" w14:paraId="00000021">
      <w:pPr>
        <w:spacing w:line="312"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spacing w:line="312"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spacing w:line="312"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spacing w:line="312"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spacing w:line="312"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line="312" w:lineRule="auto"/>
        <w:jc w:val="both"/>
        <w:rPr>
          <w:rFonts w:ascii="Arial" w:cs="Arial" w:eastAsia="Arial" w:hAnsi="Arial"/>
          <w:sz w:val="22"/>
          <w:szCs w:val="22"/>
        </w:rPr>
      </w:pPr>
      <w:r w:rsidDel="00000000" w:rsidR="00000000" w:rsidRPr="00000000">
        <w:rPr>
          <w:rFonts w:ascii="Arial" w:cs="Arial" w:eastAsia="Arial" w:hAnsi="Arial"/>
          <w:sz w:val="22"/>
          <w:szCs w:val="22"/>
        </w:rPr>
        <w:drawing>
          <wp:inline distB="0" distT="0" distL="0" distR="0">
            <wp:extent cx="5274310" cy="1422400"/>
            <wp:effectExtent b="0" l="0" r="0" t="0"/>
            <wp:docPr id="9"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5274310" cy="1422400"/>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spacing w:line="312"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Peluncuran logo terbaru ini pun diikuti dengan </w:t>
      </w:r>
      <w:r w:rsidDel="00000000" w:rsidR="00000000" w:rsidRPr="00000000">
        <w:rPr>
          <w:rFonts w:ascii="Arial" w:cs="Arial" w:eastAsia="Arial" w:hAnsi="Arial"/>
          <w:i w:val="1"/>
          <w:sz w:val="22"/>
          <w:szCs w:val="22"/>
          <w:rtl w:val="0"/>
        </w:rPr>
        <w:t xml:space="preserve">tagline </w:t>
      </w:r>
      <w:r w:rsidDel="00000000" w:rsidR="00000000" w:rsidRPr="00000000">
        <w:rPr>
          <w:rFonts w:ascii="Arial" w:cs="Arial" w:eastAsia="Arial" w:hAnsi="Arial"/>
          <w:sz w:val="22"/>
          <w:szCs w:val="22"/>
          <w:rtl w:val="0"/>
        </w:rPr>
        <w:t xml:space="preserve">terbarunya, “</w:t>
      </w:r>
      <w:r w:rsidDel="00000000" w:rsidR="00000000" w:rsidRPr="00000000">
        <w:rPr>
          <w:rFonts w:ascii="Arial" w:cs="Arial" w:eastAsia="Arial" w:hAnsi="Arial"/>
          <w:b w:val="1"/>
          <w:sz w:val="22"/>
          <w:szCs w:val="22"/>
          <w:rtl w:val="0"/>
        </w:rPr>
        <w:t xml:space="preserve">Better City, Brighter Future</w:t>
      </w:r>
      <w:r w:rsidDel="00000000" w:rsidR="00000000" w:rsidRPr="00000000">
        <w:rPr>
          <w:rFonts w:ascii="Arial" w:cs="Arial" w:eastAsia="Arial" w:hAnsi="Arial"/>
          <w:sz w:val="22"/>
          <w:szCs w:val="22"/>
          <w:rtl w:val="0"/>
        </w:rPr>
        <w:t xml:space="preserve">” yang merangkum visi kota masa depan yang tidak hanya maju secara teknologi, tetapi juga berpusat pada kesejahteraan manusia. Ini adalah kota di mana inovasi dan pembangunan berkelanjutan berpadu untuk menciptakan kehidupan yang lebih baik bagi semua.</w:t>
      </w:r>
    </w:p>
    <w:p w:rsidR="00000000" w:rsidDel="00000000" w:rsidP="00000000" w:rsidRDefault="00000000" w:rsidRPr="00000000" w14:paraId="00000028">
      <w:pPr>
        <w:spacing w:line="312"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rPr>
          <w:rFonts w:ascii="Arial" w:cs="Arial" w:eastAsia="Arial" w:hAnsi="Arial"/>
          <w:b w:val="1"/>
          <w:sz w:val="18"/>
          <w:szCs w:val="18"/>
          <w:u w:val="single"/>
        </w:rPr>
      </w:pPr>
      <w:r w:rsidDel="00000000" w:rsidR="00000000" w:rsidRPr="00000000">
        <w:rPr>
          <w:rFonts w:ascii="Arial" w:cs="Arial" w:eastAsia="Arial" w:hAnsi="Arial"/>
          <w:b w:val="1"/>
          <w:sz w:val="18"/>
          <w:szCs w:val="18"/>
          <w:u w:val="single"/>
          <w:rtl w:val="0"/>
        </w:rPr>
        <w:t xml:space="preserve">Tentang 50 Tahun Summarecon</w:t>
      </w:r>
    </w:p>
    <w:p w:rsidR="00000000" w:rsidDel="00000000" w:rsidP="00000000" w:rsidRDefault="00000000" w:rsidRPr="00000000" w14:paraId="0000002A">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Di tahun 2025, Summarecon memasuki usia 50 tahun. Perjalanan ini telah membawa Summarecon dalam mengembangkan konsep Kota Terpadu di 9 area pengembangan yang meliputi Summarecon Kelapa Gading, Summarecon Serpong, Summarecon Bekasi, Summarecon Bandung, Summarecon Emerald Karawang, Summarecon Mutiara Makassar, Summarecon Bogor, Summarecon Crown Gading, dan Summarecon Tangerang. Setiap pengembangan selalu dihadirkan sesuai dengan pemikiran visioner pendiri Summarecon, Soetjipto Nagaria. Dalam visinya, sebuah kawasan kota terpadu harus menekankan pada 3 kata kunci “Aman”, “Nyaman” dan “Lengkap”. Visi ini kemudian dikembangkan menjadi sebuah rencana pengembangan kota terpadu yang tidak hanya menitik beratkan pada hunian, namun juga kelengkapan fasilitas lain yang memudahkan penghuni dalam melakukan aktifitas. </w:t>
      </w:r>
    </w:p>
    <w:p w:rsidR="00000000" w:rsidDel="00000000" w:rsidP="00000000" w:rsidRDefault="00000000" w:rsidRPr="00000000" w14:paraId="0000002B">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C">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Perencanaan kota dilakukan secara baik dan disusun bertahap, dengan memperhatikan kemudahan aksesibilitas melalui pembangunan infrastruktur dan kelengkapan sarana yang berorientasi pada TOD (Transit Oriented Development). Kelengkapan fasilitas mulai dari pusat perbelanjaan, sekolah, sarana pendidikan hingga sarana olahraga, disediakan tidak terlalu jauh, mudah diakses penghuni sehingga kualitas hidup bisa semakin meningkat. Melalui pengembangan Kota Terpadu yang menjadi ciri khas dari Summarecon, hingga saat ini Summarecon telah mendapatkan pengakuan secara nasional maupun internasional melalui beragam penghargaan bergengsi seperti FIABCI Prix D’Excellence, Property Guru Asia Property Awards, BCI Asia Top 10 Awards, Indonesia Property Awards, Real Estate Awards dan penghargaan bergengsi lainnya. </w:t>
      </w:r>
    </w:p>
    <w:p w:rsidR="00000000" w:rsidDel="00000000" w:rsidP="00000000" w:rsidRDefault="00000000" w:rsidRPr="00000000" w14:paraId="0000002D">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E">
      <w:pPr>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Serpong, 15 Juni 2025</w:t>
      </w:r>
    </w:p>
    <w:p w:rsidR="00000000" w:rsidDel="00000000" w:rsidP="00000000" w:rsidRDefault="00000000" w:rsidRPr="00000000" w14:paraId="0000002F">
      <w:pPr>
        <w:ind w:right="-425"/>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Diterbitkan oleh:</w:t>
      </w:r>
    </w:p>
    <w:p w:rsidR="00000000" w:rsidDel="00000000" w:rsidP="00000000" w:rsidRDefault="00000000" w:rsidRPr="00000000" w14:paraId="00000030">
      <w:pPr>
        <w:ind w:right="-425"/>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Corporate Communication</w:t>
      </w:r>
    </w:p>
    <w:p w:rsidR="00000000" w:rsidDel="00000000" w:rsidP="00000000" w:rsidRDefault="00000000" w:rsidRPr="00000000" w14:paraId="00000031">
      <w:pPr>
        <w:ind w:right="-425"/>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PT Summarecon Agung Tbk</w:t>
      </w:r>
    </w:p>
    <w:p w:rsidR="00000000" w:rsidDel="00000000" w:rsidP="00000000" w:rsidRDefault="00000000" w:rsidRPr="00000000" w14:paraId="00000032">
      <w:pPr>
        <w:ind w:right="-425"/>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Telp. (021) 4714567</w:t>
      </w:r>
    </w:p>
    <w:p w:rsidR="00000000" w:rsidDel="00000000" w:rsidP="00000000" w:rsidRDefault="00000000" w:rsidRPr="00000000" w14:paraId="00000033">
      <w:pPr>
        <w:ind w:right="-425"/>
        <w:jc w:val="both"/>
        <w:rPr>
          <w:rFonts w:ascii="Arial" w:cs="Arial" w:eastAsia="Arial" w:hAnsi="Arial"/>
          <w:b w:val="1"/>
          <w:sz w:val="18"/>
          <w:szCs w:val="18"/>
        </w:rPr>
      </w:pPr>
      <w:hyperlink r:id="rId8">
        <w:r w:rsidDel="00000000" w:rsidR="00000000" w:rsidRPr="00000000">
          <w:rPr>
            <w:rFonts w:ascii="Arial" w:cs="Arial" w:eastAsia="Arial" w:hAnsi="Arial"/>
            <w:b w:val="1"/>
            <w:sz w:val="18"/>
            <w:szCs w:val="18"/>
            <w:u w:val="single"/>
            <w:rtl w:val="0"/>
          </w:rPr>
          <w:t xml:space="preserve">www.summarecon.com</w:t>
        </w:r>
      </w:hyperlink>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0034">
      <w:pPr>
        <w:ind w:right="-425"/>
        <w:jc w:val="both"/>
        <w:rPr>
          <w:rFonts w:ascii="Arial" w:cs="Arial" w:eastAsia="Arial" w:hAnsi="Arial"/>
          <w:b w:val="1"/>
          <w:sz w:val="18"/>
          <w:szCs w:val="18"/>
        </w:rPr>
      </w:pPr>
      <w:bookmarkStart w:colFirst="0" w:colLast="0" w:name="_heading=h.1fob9te" w:id="0"/>
      <w:bookmarkEnd w:id="0"/>
      <w:r w:rsidDel="00000000" w:rsidR="00000000" w:rsidRPr="00000000">
        <w:rPr>
          <w:rFonts w:ascii="Arial" w:cs="Arial" w:eastAsia="Arial" w:hAnsi="Arial"/>
          <w:b w:val="1"/>
          <w:sz w:val="18"/>
          <w:szCs w:val="18"/>
          <w:rtl w:val="0"/>
        </w:rPr>
        <w:t xml:space="preserve">E-mail: </w:t>
      </w:r>
      <w:hyperlink r:id="rId9">
        <w:r w:rsidDel="00000000" w:rsidR="00000000" w:rsidRPr="00000000">
          <w:rPr>
            <w:rFonts w:ascii="Arial" w:cs="Arial" w:eastAsia="Arial" w:hAnsi="Arial"/>
            <w:b w:val="1"/>
            <w:sz w:val="18"/>
            <w:szCs w:val="18"/>
            <w:u w:val="single"/>
            <w:rtl w:val="0"/>
          </w:rPr>
          <w:t xml:space="preserve">publicrelation@summarecon.com</w:t>
        </w:r>
      </w:hyperlink>
      <w:r w:rsidDel="00000000" w:rsidR="00000000" w:rsidRPr="00000000">
        <w:rPr>
          <w:rtl w:val="0"/>
        </w:rPr>
      </w:r>
    </w:p>
    <w:p w:rsidR="00000000" w:rsidDel="00000000" w:rsidP="00000000" w:rsidRDefault="00000000" w:rsidRPr="00000000" w14:paraId="00000035">
      <w:pPr>
        <w:spacing w:line="312"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spacing w:line="312"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spacing w:line="312"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spacing w:line="312"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ind w:right="-425"/>
        <w:jc w:val="both"/>
        <w:rPr>
          <w:rFonts w:ascii="Arial" w:cs="Arial" w:eastAsia="Arial" w:hAnsi="Arial"/>
          <w:b w:val="1"/>
          <w:sz w:val="18"/>
          <w:szCs w:val="18"/>
        </w:rPr>
      </w:pPr>
      <w:bookmarkStart w:colFirst="0" w:colLast="0" w:name="_heading=h.1fob9te" w:id="0"/>
      <w:bookmarkEnd w:id="0"/>
      <w:r w:rsidDel="00000000" w:rsidR="00000000" w:rsidRPr="00000000">
        <w:rPr>
          <w:rtl w:val="0"/>
        </w:rPr>
      </w:r>
    </w:p>
    <w:sectPr>
      <w:headerReference r:id="rId10" w:type="default"/>
      <w:footerReference r:id="rId11"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-1142999</wp:posOffset>
          </wp:positionH>
          <wp:positionV relativeFrom="paragraph">
            <wp:posOffset>389890</wp:posOffset>
          </wp:positionV>
          <wp:extent cx="7565390" cy="208915"/>
          <wp:effectExtent b="0" l="0" r="0" t="0"/>
          <wp:wrapNone/>
          <wp:docPr descr="kop surat-03" id="10" name="image1.jpg"/>
          <a:graphic>
            <a:graphicData uri="http://schemas.openxmlformats.org/drawingml/2006/picture">
              <pic:pic>
                <pic:nvPicPr>
                  <pic:cNvPr descr="kop surat-03" id="0" name="image1.jpg"/>
                  <pic:cNvPicPr preferRelativeResize="0"/>
                </pic:nvPicPr>
                <pic:blipFill>
                  <a:blip r:embed="rId1"/>
                  <a:srcRect b="0" l="0" r="0" t="0"/>
                  <a:stretch>
                    <a:fillRect/>
                  </a:stretch>
                </pic:blipFill>
                <pic:spPr>
                  <a:xfrm>
                    <a:off x="0" y="0"/>
                    <a:ext cx="7565390" cy="20891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6990"/>
      </w:tabs>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ab/>
    </w:r>
    <w:r w:rsidDel="00000000" w:rsidR="00000000" w:rsidRPr="00000000">
      <w:drawing>
        <wp:anchor allowOverlap="1" behindDoc="1" distB="0" distT="0" distL="0" distR="0" hidden="0" layoutInCell="1" locked="0" relativeHeight="0" simplePos="0">
          <wp:simplePos x="0" y="0"/>
          <wp:positionH relativeFrom="column">
            <wp:posOffset>-1597024</wp:posOffset>
          </wp:positionH>
          <wp:positionV relativeFrom="paragraph">
            <wp:posOffset>-546734</wp:posOffset>
          </wp:positionV>
          <wp:extent cx="7522845" cy="1179830"/>
          <wp:effectExtent b="0" l="0" r="0" t="0"/>
          <wp:wrapNone/>
          <wp:docPr descr="kop surat-02" id="11" name="image2.jpg"/>
          <a:graphic>
            <a:graphicData uri="http://schemas.openxmlformats.org/drawingml/2006/picture">
              <pic:pic>
                <pic:nvPicPr>
                  <pic:cNvPr descr="kop surat-02" id="0" name="image2.jpg"/>
                  <pic:cNvPicPr preferRelativeResize="0"/>
                </pic:nvPicPr>
                <pic:blipFill>
                  <a:blip r:embed="rId1"/>
                  <a:srcRect b="0" l="0" r="0" t="0"/>
                  <a:stretch>
                    <a:fillRect/>
                  </a:stretch>
                </pic:blipFill>
                <pic:spPr>
                  <a:xfrm>
                    <a:off x="0" y="0"/>
                    <a:ext cx="7522845" cy="1179830"/>
                  </a:xfrm>
                  <a:prstGeom prst="rect"/>
                  <a:ln/>
                </pic:spPr>
              </pic:pic>
            </a:graphicData>
          </a:graphic>
        </wp:anchor>
      </w:drawing>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6990"/>
      </w:tabs>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Theme="minorHAnsi" w:cstheme="minorBidi" w:eastAsiaTheme="minorEastAsia" w:hAnsiTheme="minorHAnsi"/>
      <w:lang w:eastAsia="zh-C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publicrelation@summarecon.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yperlink" Target="http://www.summareco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OPg3RZJi434aOaeHZLIwuMPcIQ==">CgMxLjAyCWguMWZvYjl0ZTIJaC4xZm9iOXRlOAByITE4dm5WSEVHVmdaRHRMWDJEVHIzdUptbEtmVXNhdE9vbw==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2025-06-14T15:32:00Z</dcterms:created>
  <dc:creator>nathania_gunadi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1033-11.2.0.9635</vt:lpwstr>
  </property>
</Properties>
</file>